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F7" w:rsidRPr="007E58F7" w:rsidRDefault="007E58F7" w:rsidP="007E58F7">
      <w:pPr>
        <w:jc w:val="both"/>
        <w:rPr>
          <w:b/>
          <w:sz w:val="22"/>
        </w:rPr>
      </w:pPr>
      <w:r w:rsidRPr="007E58F7">
        <w:rPr>
          <w:b/>
          <w:sz w:val="22"/>
        </w:rPr>
        <w:t>Přehled práv subjektu údajů a základní podmínky pro jejich uplatňování</w:t>
      </w:r>
      <w:r w:rsidR="00B0588E">
        <w:rPr>
          <w:b/>
          <w:sz w:val="22"/>
        </w:rPr>
        <w:t xml:space="preserve"> </w:t>
      </w:r>
      <w:r w:rsidR="00B0588E" w:rsidRPr="00B0588E">
        <w:rPr>
          <w:szCs w:val="20"/>
        </w:rPr>
        <w:t>(podrobně jsou podmínky uplatňování práv upraveny obecným nařízením o ochraně osobních údajů)</w:t>
      </w:r>
      <w:r w:rsidRPr="007E58F7">
        <w:rPr>
          <w:b/>
          <w:sz w:val="22"/>
        </w:rPr>
        <w:t>:</w:t>
      </w:r>
    </w:p>
    <w:p w:rsidR="007E58F7" w:rsidRPr="007E58F7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7E58F7">
        <w:rPr>
          <w:b/>
          <w:szCs w:val="20"/>
        </w:rPr>
        <w:t xml:space="preserve">právo na přístup </w:t>
      </w:r>
      <w:r w:rsidRPr="007E58F7">
        <w:rPr>
          <w:szCs w:val="20"/>
        </w:rPr>
        <w:t>(čl. 15 obecného nařízení o ochraně osobních údajů)</w:t>
      </w:r>
    </w:p>
    <w:p w:rsidR="00094E0F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7E58F7">
        <w:rPr>
          <w:szCs w:val="20"/>
        </w:rPr>
        <w:t xml:space="preserve">Toto právo </w:t>
      </w:r>
      <w:r w:rsidR="00361C76">
        <w:rPr>
          <w:szCs w:val="20"/>
        </w:rPr>
        <w:t>směřuje k získání</w:t>
      </w:r>
      <w:r w:rsidRPr="007E58F7">
        <w:rPr>
          <w:szCs w:val="20"/>
        </w:rPr>
        <w:t xml:space="preserve"> potvrzení</w:t>
      </w:r>
      <w:r w:rsidR="00361C76">
        <w:rPr>
          <w:szCs w:val="20"/>
        </w:rPr>
        <w:t xml:space="preserve"> (informace)</w:t>
      </w:r>
      <w:r w:rsidRPr="007E58F7">
        <w:rPr>
          <w:szCs w:val="20"/>
        </w:rPr>
        <w:t>, zda jsou nebo nejsou dané osobní údaje</w:t>
      </w:r>
      <w:r w:rsidR="00361C76">
        <w:rPr>
          <w:szCs w:val="20"/>
        </w:rPr>
        <w:t xml:space="preserve"> žadatele (subjektu údajů) </w:t>
      </w:r>
      <w:r w:rsidRPr="007E58F7">
        <w:rPr>
          <w:szCs w:val="20"/>
        </w:rPr>
        <w:t>zpracovávány</w:t>
      </w:r>
      <w:r w:rsidR="006567BC">
        <w:rPr>
          <w:szCs w:val="20"/>
        </w:rPr>
        <w:t xml:space="preserve">. </w:t>
      </w:r>
    </w:p>
    <w:p w:rsidR="00094E0F" w:rsidRDefault="006567BC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>
        <w:rPr>
          <w:szCs w:val="20"/>
        </w:rPr>
        <w:t>P</w:t>
      </w:r>
      <w:r w:rsidR="007E58F7" w:rsidRPr="007E58F7">
        <w:rPr>
          <w:szCs w:val="20"/>
        </w:rPr>
        <w:t>okud</w:t>
      </w:r>
      <w:r>
        <w:rPr>
          <w:szCs w:val="20"/>
        </w:rPr>
        <w:t xml:space="preserve"> </w:t>
      </w:r>
      <w:r w:rsidR="007E58F7" w:rsidRPr="007E58F7">
        <w:rPr>
          <w:szCs w:val="20"/>
        </w:rPr>
        <w:t xml:space="preserve">jsou </w:t>
      </w:r>
      <w:r>
        <w:rPr>
          <w:szCs w:val="20"/>
        </w:rPr>
        <w:t xml:space="preserve">osobní údaje </w:t>
      </w:r>
      <w:r w:rsidR="007E58F7" w:rsidRPr="007E58F7">
        <w:rPr>
          <w:szCs w:val="20"/>
        </w:rPr>
        <w:t xml:space="preserve">zpracovávány, pak </w:t>
      </w:r>
      <w:r>
        <w:rPr>
          <w:szCs w:val="20"/>
        </w:rPr>
        <w:t xml:space="preserve">toto právo zahrnuje i </w:t>
      </w:r>
      <w:r w:rsidR="007E58F7" w:rsidRPr="007E58F7">
        <w:rPr>
          <w:szCs w:val="20"/>
        </w:rPr>
        <w:t>přístup k těmto osobním údajům a</w:t>
      </w:r>
      <w:r>
        <w:rPr>
          <w:szCs w:val="20"/>
        </w:rPr>
        <w:t> </w:t>
      </w:r>
      <w:r w:rsidR="007E58F7" w:rsidRPr="007E58F7">
        <w:rPr>
          <w:szCs w:val="20"/>
        </w:rPr>
        <w:t>k dalším souvisejícím informacím o</w:t>
      </w:r>
      <w:r>
        <w:rPr>
          <w:szCs w:val="20"/>
        </w:rPr>
        <w:t> </w:t>
      </w:r>
      <w:r w:rsidR="007E58F7" w:rsidRPr="007E58F7">
        <w:rPr>
          <w:szCs w:val="20"/>
        </w:rPr>
        <w:t xml:space="preserve">jejich zpracování. Právem získat kopii zpracovávaných osobních údajů nesmějí být nepříznivě dotčena práva a svobody jiných osob. </w:t>
      </w:r>
    </w:p>
    <w:p w:rsidR="007E58F7" w:rsidRPr="00361C76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1E2AD3">
        <w:rPr>
          <w:szCs w:val="20"/>
        </w:rPr>
        <w:t xml:space="preserve">Toto právo lze </w:t>
      </w:r>
      <w:r w:rsidRPr="00361C76">
        <w:rPr>
          <w:szCs w:val="20"/>
        </w:rPr>
        <w:t xml:space="preserve">uplatnit u </w:t>
      </w:r>
      <w:r w:rsidR="00094E0F">
        <w:rPr>
          <w:szCs w:val="20"/>
        </w:rPr>
        <w:t xml:space="preserve">města jako </w:t>
      </w:r>
      <w:r w:rsidRPr="00361C76">
        <w:rPr>
          <w:szCs w:val="20"/>
        </w:rPr>
        <w:t>správce osobníc</w:t>
      </w:r>
      <w:r w:rsidR="00B0588E" w:rsidRPr="00361C76">
        <w:rPr>
          <w:szCs w:val="20"/>
        </w:rPr>
        <w:t>h údajů pro všechna</w:t>
      </w:r>
      <w:r w:rsidRPr="00361C76">
        <w:rPr>
          <w:szCs w:val="20"/>
        </w:rPr>
        <w:t xml:space="preserve"> zpracování prováděná městem</w:t>
      </w:r>
      <w:r w:rsidR="007B4C20" w:rsidRPr="00361C76">
        <w:rPr>
          <w:szCs w:val="20"/>
        </w:rPr>
        <w:t xml:space="preserve">, pokud to není omezeno </w:t>
      </w:r>
      <w:r w:rsidR="00995634" w:rsidRPr="00361C76">
        <w:rPr>
          <w:szCs w:val="20"/>
        </w:rPr>
        <w:t xml:space="preserve">právním předpisem ČR nebo EU </w:t>
      </w:r>
      <w:r w:rsidR="007B4C20" w:rsidRPr="00361C76">
        <w:rPr>
          <w:szCs w:val="20"/>
        </w:rPr>
        <w:t>ve</w:t>
      </w:r>
      <w:r w:rsidR="00E376B7">
        <w:rPr>
          <w:szCs w:val="20"/>
        </w:rPr>
        <w:t> </w:t>
      </w:r>
      <w:r w:rsidR="007B4C20" w:rsidRPr="00361C76">
        <w:rPr>
          <w:szCs w:val="20"/>
        </w:rPr>
        <w:t xml:space="preserve">smyslu čl. 23 </w:t>
      </w:r>
      <w:r w:rsidR="00995634" w:rsidRPr="00361C76">
        <w:rPr>
          <w:szCs w:val="20"/>
        </w:rPr>
        <w:t>obecného nařízení o ochraně osobních údajů</w:t>
      </w:r>
      <w:r w:rsidRPr="00361C76">
        <w:rPr>
          <w:szCs w:val="20"/>
        </w:rPr>
        <w:t>.</w:t>
      </w:r>
      <w:r w:rsidR="00C140FE" w:rsidRPr="00361C76">
        <w:rPr>
          <w:szCs w:val="20"/>
        </w:rPr>
        <w:t xml:space="preserve"> Omezením tohoto práva může být například právní úprava nahlížení do spisu podle § 38 správního řádu nebo podle § 66 a násl. daňového řádu.</w:t>
      </w:r>
    </w:p>
    <w:p w:rsidR="007E58F7" w:rsidRPr="00361C76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361C76">
        <w:rPr>
          <w:b/>
          <w:szCs w:val="20"/>
        </w:rPr>
        <w:t xml:space="preserve">právo na opravu </w:t>
      </w:r>
      <w:r w:rsidRPr="00361C76">
        <w:rPr>
          <w:szCs w:val="20"/>
        </w:rPr>
        <w:t>(čl. 16 a 19 obecného nařízení o ochraně osobních údajů)</w:t>
      </w:r>
    </w:p>
    <w:p w:rsidR="007C54FC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t>Jde o právo na opravu nepřesných osobních údajů a právo na doplnění neúplných osobních údajů.</w:t>
      </w:r>
    </w:p>
    <w:p w:rsidR="007E58F7" w:rsidRPr="00361C76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t xml:space="preserve">Toto právo lze uplatnit u </w:t>
      </w:r>
      <w:r w:rsidR="007C54FC">
        <w:rPr>
          <w:szCs w:val="20"/>
        </w:rPr>
        <w:t xml:space="preserve">města jako </w:t>
      </w:r>
      <w:r w:rsidRPr="00361C76">
        <w:rPr>
          <w:szCs w:val="20"/>
        </w:rPr>
        <w:t>správce osobní</w:t>
      </w:r>
      <w:r w:rsidR="00B0588E" w:rsidRPr="00361C76">
        <w:rPr>
          <w:szCs w:val="20"/>
        </w:rPr>
        <w:t>ch údajů pro všechna</w:t>
      </w:r>
      <w:r w:rsidRPr="00361C76">
        <w:rPr>
          <w:szCs w:val="20"/>
        </w:rPr>
        <w:t xml:space="preserve"> zpracování prováděná městem</w:t>
      </w:r>
      <w:r w:rsidR="00995634" w:rsidRPr="00361C76">
        <w:rPr>
          <w:szCs w:val="20"/>
        </w:rPr>
        <w:t>, pokud to není omezeno právním předpisem ČR nebo EU ve smyslu čl. 23 obecného nařízení o ochraně osobních údajů</w:t>
      </w:r>
      <w:r w:rsidRPr="00361C76">
        <w:rPr>
          <w:szCs w:val="20"/>
        </w:rPr>
        <w:t>.</w:t>
      </w:r>
    </w:p>
    <w:p w:rsidR="007E58F7" w:rsidRPr="00361C76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361C76">
        <w:rPr>
          <w:b/>
          <w:szCs w:val="20"/>
        </w:rPr>
        <w:t>právo na výmaz</w:t>
      </w:r>
      <w:r w:rsidRPr="00361C76">
        <w:rPr>
          <w:szCs w:val="20"/>
        </w:rPr>
        <w:t xml:space="preserve"> („právo být zapomenut“) (čl. 17 a 19 obecného nařízení o ochraně osobních údajů)</w:t>
      </w:r>
    </w:p>
    <w:p w:rsidR="001E2AD3" w:rsidRPr="00361C76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t>Právo na výmaz lze uplatnit jen ze stanovených důvodů</w:t>
      </w:r>
      <w:r w:rsidR="001E2AD3" w:rsidRPr="00361C76">
        <w:rPr>
          <w:szCs w:val="20"/>
        </w:rPr>
        <w:t>.</w:t>
      </w:r>
      <w:r w:rsidRPr="00361C76">
        <w:rPr>
          <w:szCs w:val="20"/>
        </w:rPr>
        <w:t xml:space="preserve"> </w:t>
      </w:r>
      <w:r w:rsidR="001E2AD3" w:rsidRPr="00361C76">
        <w:rPr>
          <w:szCs w:val="20"/>
        </w:rPr>
        <w:t>N</w:t>
      </w:r>
      <w:r w:rsidRPr="00361C76">
        <w:rPr>
          <w:szCs w:val="20"/>
        </w:rPr>
        <w:t xml:space="preserve">apříklad proto, že osobní údaje již nejsou potřebné pro účely, pro které byly shromážděny nebo jinak zpracovány, nebo proto, že subjekt údajů odvolá souhlas a neexistuje žádný další právní důvod pro zpracování. </w:t>
      </w:r>
    </w:p>
    <w:p w:rsidR="007C54FC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t>Právo na výmaz nelze mimo jiné uplatnit, pokud je zpracování daných osobních údajů nezbytné pro splnění právní povinnosti</w:t>
      </w:r>
      <w:r w:rsidR="00361C76">
        <w:rPr>
          <w:szCs w:val="20"/>
        </w:rPr>
        <w:t xml:space="preserve"> města</w:t>
      </w:r>
      <w:r w:rsidRPr="00361C76">
        <w:rPr>
          <w:szCs w:val="20"/>
        </w:rPr>
        <w:t xml:space="preserve">, nebo pro splnění úkolu provedeného </w:t>
      </w:r>
      <w:r w:rsidR="00361C76">
        <w:rPr>
          <w:szCs w:val="20"/>
        </w:rPr>
        <w:t xml:space="preserve">městem </w:t>
      </w:r>
      <w:r w:rsidRPr="00361C76">
        <w:rPr>
          <w:szCs w:val="20"/>
        </w:rPr>
        <w:t>ve veřejném zájmu nebo při</w:t>
      </w:r>
      <w:r w:rsidR="001E2AD3" w:rsidRPr="00361C76">
        <w:rPr>
          <w:szCs w:val="20"/>
        </w:rPr>
        <w:t> </w:t>
      </w:r>
      <w:r w:rsidRPr="00361C76">
        <w:rPr>
          <w:szCs w:val="20"/>
        </w:rPr>
        <w:t xml:space="preserve">výkonu veřejné moci, pro účely archivace ve veřejném zájmu za podmínek obecného nařízení o ochraně osobních údajů a dále </w:t>
      </w:r>
      <w:r w:rsidR="001E2AD3" w:rsidRPr="00361C76">
        <w:rPr>
          <w:szCs w:val="20"/>
        </w:rPr>
        <w:t>toto právo</w:t>
      </w:r>
      <w:r w:rsidRPr="00361C76">
        <w:rPr>
          <w:szCs w:val="20"/>
        </w:rPr>
        <w:t xml:space="preserve"> nelze uplatnit, jde-li o zpracování nezbytné pro</w:t>
      </w:r>
      <w:r w:rsidR="001E2AD3" w:rsidRPr="00361C76">
        <w:rPr>
          <w:szCs w:val="20"/>
        </w:rPr>
        <w:t> </w:t>
      </w:r>
      <w:r w:rsidRPr="00361C76">
        <w:rPr>
          <w:szCs w:val="20"/>
        </w:rPr>
        <w:t>určení, výkon nebo obhajobu právních nároků</w:t>
      </w:r>
      <w:r w:rsidR="00361C76">
        <w:rPr>
          <w:szCs w:val="20"/>
        </w:rPr>
        <w:t xml:space="preserve"> města</w:t>
      </w:r>
      <w:r w:rsidRPr="00361C76">
        <w:rPr>
          <w:szCs w:val="20"/>
        </w:rPr>
        <w:t xml:space="preserve">. </w:t>
      </w:r>
    </w:p>
    <w:p w:rsidR="007E58F7" w:rsidRPr="00361C76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t xml:space="preserve">Vzhledem k uvedeným výjimkám </w:t>
      </w:r>
      <w:r w:rsidR="00D11263">
        <w:rPr>
          <w:szCs w:val="20"/>
        </w:rPr>
        <w:t>je</w:t>
      </w:r>
      <w:r w:rsidRPr="00361C76">
        <w:rPr>
          <w:szCs w:val="20"/>
        </w:rPr>
        <w:t xml:space="preserve"> </w:t>
      </w:r>
      <w:r w:rsidR="00E311C0" w:rsidRPr="00361C76">
        <w:rPr>
          <w:szCs w:val="20"/>
        </w:rPr>
        <w:t xml:space="preserve">možnost </w:t>
      </w:r>
      <w:r w:rsidRPr="00361C76">
        <w:rPr>
          <w:szCs w:val="20"/>
        </w:rPr>
        <w:t>uplatnění tohoto práva u zpracování pr</w:t>
      </w:r>
      <w:r w:rsidR="00361C76">
        <w:rPr>
          <w:szCs w:val="20"/>
        </w:rPr>
        <w:t>ováděných městem spíše výjimečná</w:t>
      </w:r>
      <w:r w:rsidRPr="00361C76">
        <w:rPr>
          <w:szCs w:val="20"/>
        </w:rPr>
        <w:t xml:space="preserve">.  </w:t>
      </w:r>
      <w:r w:rsidR="00643965" w:rsidRPr="00361C76">
        <w:rPr>
          <w:szCs w:val="20"/>
        </w:rPr>
        <w:t>Toto právo může být také omezeno právním předpisem ČR nebo EU ve smyslu čl. 23 obecného nařízení o ochraně osobních údajů.</w:t>
      </w:r>
    </w:p>
    <w:p w:rsidR="007E58F7" w:rsidRPr="00361C76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361C76">
        <w:rPr>
          <w:b/>
          <w:szCs w:val="20"/>
        </w:rPr>
        <w:t xml:space="preserve">právo na omezení zpracování </w:t>
      </w:r>
      <w:r w:rsidRPr="00361C76">
        <w:rPr>
          <w:szCs w:val="20"/>
        </w:rPr>
        <w:t>(čl. 18 a 19 obecného nařízení o ochraně osobních údajů)</w:t>
      </w:r>
    </w:p>
    <w:p w:rsidR="007C54FC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t xml:space="preserve">Právo na omezení zpracování lze uplatnit jen ze stanovených důvodů. </w:t>
      </w:r>
      <w:r w:rsidR="005B7B8A" w:rsidRPr="00361C76">
        <w:rPr>
          <w:szCs w:val="20"/>
        </w:rPr>
        <w:t xml:space="preserve">Například proto, že subjekt údajů popírá přesnost osobních údajů, a to na dobu potřebnou k tomu, aby správce mohl přesnost osobních údajů ověřit, nebo proto, že subjekt údajů vznesl námitku proti zpracování, dokud nebude ověřeno, zda oprávněné důvody správce </w:t>
      </w:r>
      <w:r w:rsidR="00361C76">
        <w:rPr>
          <w:szCs w:val="20"/>
        </w:rPr>
        <w:t xml:space="preserve">pro zpracování </w:t>
      </w:r>
      <w:r w:rsidR="005B7B8A" w:rsidRPr="00361C76">
        <w:rPr>
          <w:szCs w:val="20"/>
        </w:rPr>
        <w:t>převažují nad</w:t>
      </w:r>
      <w:r w:rsidR="00361C76">
        <w:rPr>
          <w:szCs w:val="20"/>
        </w:rPr>
        <w:t> </w:t>
      </w:r>
      <w:r w:rsidR="005B7B8A" w:rsidRPr="00361C76">
        <w:rPr>
          <w:szCs w:val="20"/>
        </w:rPr>
        <w:t xml:space="preserve">oprávněnými důvody subjektu údajů. </w:t>
      </w:r>
    </w:p>
    <w:p w:rsidR="007E58F7" w:rsidRPr="00361C76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t xml:space="preserve">Toto právo lze uplatnit u </w:t>
      </w:r>
      <w:r w:rsidR="007C54FC">
        <w:rPr>
          <w:szCs w:val="20"/>
        </w:rPr>
        <w:t xml:space="preserve">města jako </w:t>
      </w:r>
      <w:r w:rsidRPr="00361C76">
        <w:rPr>
          <w:szCs w:val="20"/>
        </w:rPr>
        <w:t>správce osobních údajů pro</w:t>
      </w:r>
      <w:r w:rsidR="00361C76">
        <w:rPr>
          <w:szCs w:val="20"/>
        </w:rPr>
        <w:t> </w:t>
      </w:r>
      <w:r w:rsidRPr="00361C76">
        <w:rPr>
          <w:szCs w:val="20"/>
        </w:rPr>
        <w:t>všechn</w:t>
      </w:r>
      <w:r w:rsidR="005B7B8A" w:rsidRPr="00361C76">
        <w:rPr>
          <w:szCs w:val="20"/>
        </w:rPr>
        <w:t>a</w:t>
      </w:r>
      <w:r w:rsidRPr="00361C76">
        <w:rPr>
          <w:szCs w:val="20"/>
        </w:rPr>
        <w:t xml:space="preserve"> zpracování prováděná městem</w:t>
      </w:r>
      <w:r w:rsidR="00995634" w:rsidRPr="00361C76">
        <w:rPr>
          <w:szCs w:val="20"/>
        </w:rPr>
        <w:t>, pokud to není omezeno právním předpisem ČR nebo EU ve smyslu čl. 23 obecného nařízení o ochraně osobních údajů</w:t>
      </w:r>
      <w:r w:rsidRPr="00361C76">
        <w:rPr>
          <w:szCs w:val="20"/>
        </w:rPr>
        <w:t>.</w:t>
      </w:r>
    </w:p>
    <w:p w:rsidR="007E58F7" w:rsidRPr="00361C76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361C76">
        <w:rPr>
          <w:b/>
          <w:szCs w:val="20"/>
        </w:rPr>
        <w:t xml:space="preserve">právo na přenositelnost osobních údajů </w:t>
      </w:r>
      <w:r w:rsidRPr="00361C76">
        <w:rPr>
          <w:szCs w:val="20"/>
        </w:rPr>
        <w:t>(čl. 20 obecného nařízení o ochraně osobních údajů)</w:t>
      </w:r>
    </w:p>
    <w:p w:rsidR="007C54FC" w:rsidRDefault="00F00E44" w:rsidP="00643965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t>Právo na přenositelnost osobních údajů l</w:t>
      </w:r>
      <w:r w:rsidR="007E58F7" w:rsidRPr="00361C76">
        <w:rPr>
          <w:szCs w:val="20"/>
        </w:rPr>
        <w:t>ze uplatnit jen u zpracování, které je založeno na</w:t>
      </w:r>
      <w:r w:rsidRPr="00361C76">
        <w:rPr>
          <w:szCs w:val="20"/>
        </w:rPr>
        <w:t> </w:t>
      </w:r>
      <w:r w:rsidR="007E58F7" w:rsidRPr="00361C76">
        <w:rPr>
          <w:szCs w:val="20"/>
        </w:rPr>
        <w:t>souhlasu subjektu údajů nebo na smlouvě uzavřené se subjektem údajů, pokud se toto zpracování provádí automatizovaně</w:t>
      </w:r>
      <w:r w:rsidR="00361C76">
        <w:rPr>
          <w:szCs w:val="20"/>
        </w:rPr>
        <w:t xml:space="preserve"> a jde-li o osobní údaje, které subjekt údajů poskytl městu ve strukturovaném, běžně používaném a strojově čitelném formátu</w:t>
      </w:r>
      <w:r w:rsidR="007E58F7" w:rsidRPr="00361C76">
        <w:rPr>
          <w:szCs w:val="20"/>
        </w:rPr>
        <w:t>. Toto právo nelze uplatnit na</w:t>
      </w:r>
      <w:r w:rsidR="00361C76">
        <w:rPr>
          <w:szCs w:val="20"/>
        </w:rPr>
        <w:t> </w:t>
      </w:r>
      <w:r w:rsidR="007E58F7" w:rsidRPr="00361C76">
        <w:rPr>
          <w:szCs w:val="20"/>
        </w:rPr>
        <w:t>zpracování nezbytné pro</w:t>
      </w:r>
      <w:r w:rsidRPr="00361C76">
        <w:rPr>
          <w:szCs w:val="20"/>
        </w:rPr>
        <w:t> </w:t>
      </w:r>
      <w:r w:rsidR="007E58F7" w:rsidRPr="00361C76">
        <w:rPr>
          <w:szCs w:val="20"/>
        </w:rPr>
        <w:t xml:space="preserve">splnění úkolu prováděného ve veřejném zájmu nebo při výkonu veřejné moci. </w:t>
      </w:r>
    </w:p>
    <w:p w:rsidR="007E58F7" w:rsidRDefault="007E58F7" w:rsidP="00643965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lastRenderedPageBreak/>
        <w:t>Vzhledem k</w:t>
      </w:r>
      <w:r w:rsidR="00F00E44" w:rsidRPr="00361C76">
        <w:rPr>
          <w:szCs w:val="20"/>
        </w:rPr>
        <w:t> </w:t>
      </w:r>
      <w:r w:rsidRPr="00361C76">
        <w:rPr>
          <w:szCs w:val="20"/>
        </w:rPr>
        <w:t xml:space="preserve">uvedeným podmínkám </w:t>
      </w:r>
      <w:r w:rsidR="00D11263">
        <w:rPr>
          <w:szCs w:val="20"/>
        </w:rPr>
        <w:t>je</w:t>
      </w:r>
      <w:r w:rsidR="00D11263" w:rsidRPr="00361C76">
        <w:rPr>
          <w:szCs w:val="20"/>
        </w:rPr>
        <w:t xml:space="preserve"> možnost uplatnění tohoto práva u zpracování pr</w:t>
      </w:r>
      <w:r w:rsidR="00D11263">
        <w:rPr>
          <w:szCs w:val="20"/>
        </w:rPr>
        <w:t>ováděných městem spíše výjimečná</w:t>
      </w:r>
      <w:r w:rsidR="00D11263" w:rsidRPr="00361C76">
        <w:rPr>
          <w:szCs w:val="20"/>
        </w:rPr>
        <w:t>.</w:t>
      </w:r>
      <w:r w:rsidR="00D11263">
        <w:rPr>
          <w:szCs w:val="20"/>
        </w:rPr>
        <w:t xml:space="preserve"> </w:t>
      </w:r>
      <w:r w:rsidR="00643965" w:rsidRPr="00361C76">
        <w:rPr>
          <w:szCs w:val="20"/>
        </w:rPr>
        <w:t>Toto právo může být také omezeno právním předpisem ČR nebo EU ve smyslu čl. 23 obecného nařízení o ochraně osobních údajů.</w:t>
      </w:r>
    </w:p>
    <w:p w:rsidR="007E58F7" w:rsidRPr="00361C76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361C76">
        <w:rPr>
          <w:b/>
          <w:szCs w:val="20"/>
        </w:rPr>
        <w:t xml:space="preserve">právo vznést námitku proti zpracování </w:t>
      </w:r>
      <w:r w:rsidRPr="00361C76">
        <w:rPr>
          <w:szCs w:val="20"/>
        </w:rPr>
        <w:t>(čl. 21 obecného nařízení o ochraně osobních údajů)</w:t>
      </w:r>
    </w:p>
    <w:p w:rsidR="00643965" w:rsidRPr="007E58F7" w:rsidRDefault="007E58F7" w:rsidP="00643965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361C76">
        <w:rPr>
          <w:szCs w:val="20"/>
        </w:rPr>
        <w:t>Toto právo lze uplatnit mimo jiné u zpracování nezbytných pro splnění úkolu prováděného ve</w:t>
      </w:r>
      <w:r w:rsidR="00635034" w:rsidRPr="00361C76">
        <w:rPr>
          <w:szCs w:val="20"/>
        </w:rPr>
        <w:t> </w:t>
      </w:r>
      <w:r w:rsidRPr="00361C76">
        <w:rPr>
          <w:szCs w:val="20"/>
        </w:rPr>
        <w:t xml:space="preserve">veřejném zájmu nebo při výkonu veřejné moci a u zpracování nezbytných pro účely oprávněných zájmů správce či třetí strany. Právo vznést námitku proti zpracování je tedy možné u těch zpracování, u nichž je </w:t>
      </w:r>
      <w:r w:rsidR="00635034" w:rsidRPr="00361C76">
        <w:rPr>
          <w:szCs w:val="20"/>
        </w:rPr>
        <w:t>v </w:t>
      </w:r>
      <w:r w:rsidR="00F10F13" w:rsidRPr="00361C76">
        <w:rPr>
          <w:szCs w:val="20"/>
        </w:rPr>
        <w:t>„</w:t>
      </w:r>
      <w:r w:rsidR="00635034" w:rsidRPr="00361C76">
        <w:rPr>
          <w:szCs w:val="20"/>
        </w:rPr>
        <w:t xml:space="preserve">Informacích </w:t>
      </w:r>
      <w:r w:rsidR="00F10F13" w:rsidRPr="00361C76">
        <w:rPr>
          <w:szCs w:val="20"/>
        </w:rPr>
        <w:t xml:space="preserve">pro subjekty údajů o </w:t>
      </w:r>
      <w:r w:rsidR="009752AB" w:rsidRPr="00361C76">
        <w:rPr>
          <w:szCs w:val="20"/>
        </w:rPr>
        <w:t xml:space="preserve">jednotlivých </w:t>
      </w:r>
      <w:r w:rsidR="00F10F13" w:rsidRPr="00361C76">
        <w:rPr>
          <w:szCs w:val="20"/>
        </w:rPr>
        <w:t xml:space="preserve">zpracováních osobních údajů“ </w:t>
      </w:r>
      <w:r w:rsidRPr="00361C76">
        <w:rPr>
          <w:szCs w:val="20"/>
        </w:rPr>
        <w:t xml:space="preserve">v </w:t>
      </w:r>
      <w:r w:rsidR="00DD3C04">
        <w:rPr>
          <w:szCs w:val="20"/>
        </w:rPr>
        <w:t>řádku</w:t>
      </w:r>
      <w:r w:rsidRPr="00361C76">
        <w:rPr>
          <w:szCs w:val="20"/>
        </w:rPr>
        <w:t xml:space="preserve"> </w:t>
      </w:r>
      <w:r w:rsidR="00F10F13" w:rsidRPr="00361C76">
        <w:rPr>
          <w:szCs w:val="20"/>
        </w:rPr>
        <w:t>„</w:t>
      </w:r>
      <w:r w:rsidRPr="00361C76">
        <w:rPr>
          <w:szCs w:val="20"/>
        </w:rPr>
        <w:t>Právní základ pro zpracování</w:t>
      </w:r>
      <w:r w:rsidR="00F10F13" w:rsidRPr="00361C76">
        <w:rPr>
          <w:szCs w:val="20"/>
        </w:rPr>
        <w:t>“</w:t>
      </w:r>
      <w:r w:rsidRPr="00361C76">
        <w:rPr>
          <w:szCs w:val="20"/>
        </w:rPr>
        <w:t xml:space="preserve"> uveden odkaz na čl. 6 odst. 1 písm. e) nebo f) GDPR.</w:t>
      </w:r>
      <w:r w:rsidR="00643965" w:rsidRPr="00361C76">
        <w:rPr>
          <w:szCs w:val="20"/>
        </w:rPr>
        <w:t xml:space="preserve"> Toto právo může být omezeno právním předpisem ČR nebo EU ve smyslu čl. 23 obecného nařízení o ochraně osobních údajů.</w:t>
      </w:r>
    </w:p>
    <w:p w:rsidR="007E58F7" w:rsidRPr="007E58F7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7E58F7">
        <w:rPr>
          <w:b/>
          <w:szCs w:val="20"/>
        </w:rPr>
        <w:t xml:space="preserve">právo nebýt předmětem výhradně automatizovaného individuálního rozhodování, včetně profilování </w:t>
      </w:r>
      <w:r w:rsidRPr="007E58F7">
        <w:rPr>
          <w:szCs w:val="20"/>
        </w:rPr>
        <w:t>(čl. 22 obecného nařízení o ochraně osobních údajů)</w:t>
      </w:r>
    </w:p>
    <w:p w:rsidR="007E58F7" w:rsidRPr="007E58F7" w:rsidRDefault="007E58F7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 w:rsidRPr="007E58F7">
        <w:rPr>
          <w:szCs w:val="20"/>
        </w:rPr>
        <w:t xml:space="preserve">Město </w:t>
      </w:r>
      <w:r w:rsidR="007170A9">
        <w:rPr>
          <w:szCs w:val="20"/>
        </w:rPr>
        <w:t xml:space="preserve">zpravidla </w:t>
      </w:r>
      <w:r w:rsidRPr="007E58F7">
        <w:rPr>
          <w:szCs w:val="20"/>
        </w:rPr>
        <w:t xml:space="preserve">nevydává rozhodnutí založená výhradně na automatickém zpracování, včetně profilování, které by mělo právní účinky pro subjekty údajů nebo se jich obdobným způsobem významně dotýkalo. Pokud by město v budoucnu přistoupilo k automatizovanému individuálnímu rozhodování, musely by </w:t>
      </w:r>
      <w:r w:rsidR="00DD3C04">
        <w:rPr>
          <w:szCs w:val="20"/>
        </w:rPr>
        <w:t xml:space="preserve">k tomu </w:t>
      </w:r>
      <w:r w:rsidRPr="007E58F7">
        <w:rPr>
          <w:szCs w:val="20"/>
        </w:rPr>
        <w:t>být splněny podmínky obecného nařízení o ochraně osobních údajů.</w:t>
      </w:r>
    </w:p>
    <w:p w:rsidR="007E58F7" w:rsidRPr="007E58F7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7E58F7">
        <w:rPr>
          <w:b/>
          <w:szCs w:val="20"/>
        </w:rPr>
        <w:t xml:space="preserve">právo odvolat souhlas, je-li dané zpracování založeno na souhlasu subjektu údajů </w:t>
      </w:r>
    </w:p>
    <w:p w:rsidR="007E58F7" w:rsidRPr="007E58F7" w:rsidRDefault="007E77C2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>
        <w:rPr>
          <w:szCs w:val="20"/>
        </w:rPr>
        <w:t>J</w:t>
      </w:r>
      <w:r w:rsidRPr="007E58F7">
        <w:rPr>
          <w:szCs w:val="20"/>
        </w:rPr>
        <w:t>e-li dané zpracování založeno na souhlasu subjektu údajů</w:t>
      </w:r>
      <w:r>
        <w:rPr>
          <w:szCs w:val="20"/>
        </w:rPr>
        <w:t>, pak má s</w:t>
      </w:r>
      <w:r w:rsidR="007E58F7" w:rsidRPr="007E58F7">
        <w:rPr>
          <w:szCs w:val="20"/>
        </w:rPr>
        <w:t>ubjekt údajů právo svůj souhlas se zpracováním</w:t>
      </w:r>
      <w:r>
        <w:rPr>
          <w:szCs w:val="20"/>
        </w:rPr>
        <w:t xml:space="preserve"> osobních údajů kdykoli odvolat</w:t>
      </w:r>
      <w:r w:rsidR="007E58F7" w:rsidRPr="007E58F7">
        <w:rPr>
          <w:szCs w:val="20"/>
        </w:rPr>
        <w:t>.</w:t>
      </w:r>
      <w:r>
        <w:rPr>
          <w:szCs w:val="20"/>
        </w:rPr>
        <w:t xml:space="preserve"> </w:t>
      </w:r>
      <w:r w:rsidR="007E58F7" w:rsidRPr="007E58F7">
        <w:rPr>
          <w:szCs w:val="20"/>
        </w:rPr>
        <w:t>Odvoláním souhlasu není dotčena</w:t>
      </w:r>
      <w:r>
        <w:rPr>
          <w:szCs w:val="20"/>
        </w:rPr>
        <w:t xml:space="preserve"> </w:t>
      </w:r>
      <w:r w:rsidR="007E58F7" w:rsidRPr="007E58F7">
        <w:rPr>
          <w:szCs w:val="20"/>
        </w:rPr>
        <w:t xml:space="preserve">zákonnost zpracování </w:t>
      </w:r>
      <w:r w:rsidR="00DD3C04">
        <w:rPr>
          <w:szCs w:val="20"/>
        </w:rPr>
        <w:t>založeného na</w:t>
      </w:r>
      <w:r w:rsidR="007E58F7" w:rsidRPr="007E58F7">
        <w:rPr>
          <w:szCs w:val="20"/>
        </w:rPr>
        <w:t xml:space="preserve"> souhlasu před jeho odvoláním. Před</w:t>
      </w:r>
      <w:r>
        <w:rPr>
          <w:szCs w:val="20"/>
        </w:rPr>
        <w:t> </w:t>
      </w:r>
      <w:r w:rsidR="007E58F7" w:rsidRPr="007E58F7">
        <w:rPr>
          <w:szCs w:val="20"/>
        </w:rPr>
        <w:t xml:space="preserve">udělením souhlasu </w:t>
      </w:r>
      <w:r w:rsidR="00DD3C04">
        <w:rPr>
          <w:szCs w:val="20"/>
        </w:rPr>
        <w:t>má být</w:t>
      </w:r>
      <w:r w:rsidR="007E58F7" w:rsidRPr="007E58F7">
        <w:rPr>
          <w:szCs w:val="20"/>
        </w:rPr>
        <w:t xml:space="preserve"> subjekt údajů o možnosti odvolání souhlasu informován. Odvolat souhlas musí být stejně snadné jako jej poskytnout.</w:t>
      </w:r>
    </w:p>
    <w:p w:rsidR="007E58F7" w:rsidRPr="007E58F7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7E58F7">
        <w:rPr>
          <w:b/>
          <w:szCs w:val="20"/>
        </w:rPr>
        <w:t xml:space="preserve">právo podat stížnost u dozorového úřadu </w:t>
      </w:r>
      <w:r w:rsidRPr="007E58F7">
        <w:rPr>
          <w:szCs w:val="20"/>
        </w:rPr>
        <w:t>(čl. 77 a 80 obecného nařízení o ochraně osobních údajů)</w:t>
      </w:r>
    </w:p>
    <w:p w:rsidR="007E58F7" w:rsidRPr="007E58F7" w:rsidRDefault="00FF66A8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>
        <w:rPr>
          <w:szCs w:val="20"/>
        </w:rPr>
        <w:t>P</w:t>
      </w:r>
      <w:r w:rsidRPr="00FF66A8">
        <w:rPr>
          <w:szCs w:val="20"/>
        </w:rPr>
        <w:t xml:space="preserve">okud se subjekt údajů domnívá, že zpracováním jeho osobních údajů je porušeno </w:t>
      </w:r>
      <w:r>
        <w:rPr>
          <w:szCs w:val="20"/>
        </w:rPr>
        <w:t>obecné</w:t>
      </w:r>
      <w:r w:rsidRPr="00FF66A8">
        <w:rPr>
          <w:szCs w:val="20"/>
        </w:rPr>
        <w:t xml:space="preserve"> nařízení </w:t>
      </w:r>
      <w:r>
        <w:rPr>
          <w:szCs w:val="20"/>
        </w:rPr>
        <w:t xml:space="preserve">o ochraně osobních údajů, má právo podat stížnost přímo </w:t>
      </w:r>
      <w:r w:rsidR="007E58F7" w:rsidRPr="007E58F7">
        <w:rPr>
          <w:szCs w:val="20"/>
        </w:rPr>
        <w:t>u</w:t>
      </w:r>
      <w:r>
        <w:rPr>
          <w:szCs w:val="20"/>
        </w:rPr>
        <w:t xml:space="preserve"> příslušného </w:t>
      </w:r>
      <w:r w:rsidR="007E58F7" w:rsidRPr="007E58F7">
        <w:rPr>
          <w:szCs w:val="20"/>
        </w:rPr>
        <w:t>dozorového úřadu</w:t>
      </w:r>
      <w:r>
        <w:rPr>
          <w:szCs w:val="20"/>
        </w:rPr>
        <w:t>.</w:t>
      </w:r>
      <w:r w:rsidR="007E58F7" w:rsidRPr="007E58F7">
        <w:rPr>
          <w:szCs w:val="20"/>
        </w:rPr>
        <w:t xml:space="preserve"> </w:t>
      </w:r>
      <w:r>
        <w:rPr>
          <w:szCs w:val="20"/>
        </w:rPr>
        <w:t>V </w:t>
      </w:r>
      <w:r w:rsidR="007E58F7" w:rsidRPr="007E58F7">
        <w:rPr>
          <w:szCs w:val="20"/>
        </w:rPr>
        <w:t>Č</w:t>
      </w:r>
      <w:r>
        <w:rPr>
          <w:szCs w:val="20"/>
        </w:rPr>
        <w:t>eské republice</w:t>
      </w:r>
      <w:r w:rsidR="007E58F7" w:rsidRPr="007E58F7">
        <w:rPr>
          <w:szCs w:val="20"/>
        </w:rPr>
        <w:t xml:space="preserve"> je </w:t>
      </w:r>
      <w:r>
        <w:rPr>
          <w:szCs w:val="20"/>
        </w:rPr>
        <w:t>dozorovým úřadem</w:t>
      </w:r>
      <w:r w:rsidR="007E58F7" w:rsidRPr="007E58F7">
        <w:rPr>
          <w:szCs w:val="20"/>
        </w:rPr>
        <w:t xml:space="preserve"> </w:t>
      </w:r>
      <w:r>
        <w:rPr>
          <w:szCs w:val="20"/>
        </w:rPr>
        <w:t>Úřad pro ochranu osobních údajů</w:t>
      </w:r>
      <w:r w:rsidR="007E58F7" w:rsidRPr="007E58F7">
        <w:rPr>
          <w:szCs w:val="20"/>
        </w:rPr>
        <w:t>. Toto právo se vztahuje na všechna zpracování osobních údajů.</w:t>
      </w:r>
    </w:p>
    <w:p w:rsidR="007E58F7" w:rsidRPr="007E58F7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7E58F7">
        <w:rPr>
          <w:b/>
          <w:szCs w:val="20"/>
        </w:rPr>
        <w:t xml:space="preserve">právo na soudní ochranu </w:t>
      </w:r>
      <w:r w:rsidRPr="007E58F7">
        <w:rPr>
          <w:szCs w:val="20"/>
        </w:rPr>
        <w:t>(vůči dozorovému úřadu, vůči správci nebo zpracovateli) (čl. 78, 79 a</w:t>
      </w:r>
      <w:r w:rsidR="002C503F">
        <w:rPr>
          <w:szCs w:val="20"/>
        </w:rPr>
        <w:t> </w:t>
      </w:r>
      <w:r w:rsidRPr="007E58F7">
        <w:rPr>
          <w:szCs w:val="20"/>
        </w:rPr>
        <w:t>80 obecného nařízení o ochraně osobních údajů)</w:t>
      </w:r>
    </w:p>
    <w:p w:rsidR="007C54FC" w:rsidRDefault="00AC0DDF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r>
        <w:rPr>
          <w:szCs w:val="20"/>
        </w:rPr>
        <w:t>K</w:t>
      </w:r>
      <w:r w:rsidRPr="00AC0DDF">
        <w:rPr>
          <w:szCs w:val="20"/>
        </w:rPr>
        <w:t>aždá fyzická nebo právnická osoba právo na účinnou soudní ochranu proti právně závaznému rozhodnutí dozorového úřadu, které se jí týká</w:t>
      </w:r>
      <w:r>
        <w:rPr>
          <w:szCs w:val="20"/>
        </w:rPr>
        <w:t xml:space="preserve">. Subjekt údajů má právo na soudní ochranu, </w:t>
      </w:r>
      <w:r w:rsidRPr="00AC0DDF">
        <w:rPr>
          <w:szCs w:val="20"/>
        </w:rPr>
        <w:t xml:space="preserve">pokud se </w:t>
      </w:r>
      <w:r>
        <w:rPr>
          <w:szCs w:val="20"/>
        </w:rPr>
        <w:t xml:space="preserve">příslušný </w:t>
      </w:r>
      <w:r w:rsidRPr="00AC0DDF">
        <w:rPr>
          <w:szCs w:val="20"/>
        </w:rPr>
        <w:t xml:space="preserve">dozorový úřad </w:t>
      </w:r>
      <w:r>
        <w:rPr>
          <w:szCs w:val="20"/>
        </w:rPr>
        <w:t xml:space="preserve">nezabývá jeho </w:t>
      </w:r>
      <w:r w:rsidRPr="00AC0DDF">
        <w:rPr>
          <w:szCs w:val="20"/>
        </w:rPr>
        <w:t>stížností nebo pokud neinformuje subjekt údajů do tří měsíců o pokroku v řešení stížnosti</w:t>
      </w:r>
      <w:r>
        <w:rPr>
          <w:szCs w:val="20"/>
        </w:rPr>
        <w:t>.</w:t>
      </w:r>
      <w:r w:rsidRPr="00AC0DDF">
        <w:rPr>
          <w:szCs w:val="20"/>
        </w:rPr>
        <w:t xml:space="preserve"> </w:t>
      </w:r>
    </w:p>
    <w:p w:rsidR="007E58F7" w:rsidRPr="007E58F7" w:rsidRDefault="00AC0DDF" w:rsidP="007E58F7">
      <w:pPr>
        <w:pStyle w:val="Odstavecseseznamem"/>
        <w:spacing w:after="120"/>
        <w:ind w:left="426"/>
        <w:contextualSpacing w:val="0"/>
        <w:jc w:val="both"/>
        <w:rPr>
          <w:szCs w:val="20"/>
        </w:rPr>
      </w:pPr>
      <w:bookmarkStart w:id="0" w:name="_GoBack"/>
      <w:bookmarkEnd w:id="0"/>
      <w:r>
        <w:rPr>
          <w:szCs w:val="20"/>
        </w:rPr>
        <w:t>Subjekt údajů</w:t>
      </w:r>
      <w:r w:rsidR="00255C76">
        <w:rPr>
          <w:szCs w:val="20"/>
        </w:rPr>
        <w:t xml:space="preserve"> </w:t>
      </w:r>
      <w:r w:rsidR="00255C76" w:rsidRPr="00255C76">
        <w:rPr>
          <w:szCs w:val="20"/>
        </w:rPr>
        <w:t xml:space="preserve">má </w:t>
      </w:r>
      <w:r w:rsidR="00255C76">
        <w:rPr>
          <w:szCs w:val="20"/>
        </w:rPr>
        <w:t>také</w:t>
      </w:r>
      <w:r w:rsidR="00255C76" w:rsidRPr="00255C76">
        <w:rPr>
          <w:szCs w:val="20"/>
        </w:rPr>
        <w:t xml:space="preserve"> právo na účinnou soudní ochranu, pokud má za to, že jeho práva podle </w:t>
      </w:r>
      <w:r w:rsidR="00255C76">
        <w:rPr>
          <w:szCs w:val="20"/>
        </w:rPr>
        <w:t>obecného</w:t>
      </w:r>
      <w:r w:rsidR="00255C76" w:rsidRPr="00255C76">
        <w:rPr>
          <w:szCs w:val="20"/>
        </w:rPr>
        <w:t xml:space="preserve"> nařízení </w:t>
      </w:r>
      <w:r w:rsidR="00255C76">
        <w:rPr>
          <w:szCs w:val="20"/>
        </w:rPr>
        <w:t xml:space="preserve">o ochraně osobních údajů </w:t>
      </w:r>
      <w:r w:rsidR="00255C76" w:rsidRPr="00255C76">
        <w:rPr>
          <w:szCs w:val="20"/>
        </w:rPr>
        <w:t>byla porušena v důsledku zpracování jeho osobních údajů v rozporu s tímto nařízením</w:t>
      </w:r>
      <w:r w:rsidR="00255C76">
        <w:rPr>
          <w:szCs w:val="20"/>
        </w:rPr>
        <w:t>.</w:t>
      </w:r>
      <w:r>
        <w:rPr>
          <w:szCs w:val="20"/>
        </w:rPr>
        <w:t xml:space="preserve"> </w:t>
      </w:r>
      <w:r w:rsidR="00255C76">
        <w:rPr>
          <w:szCs w:val="20"/>
        </w:rPr>
        <w:t>P</w:t>
      </w:r>
      <w:r w:rsidR="007E58F7" w:rsidRPr="007E58F7">
        <w:rPr>
          <w:szCs w:val="20"/>
        </w:rPr>
        <w:t xml:space="preserve">rávo </w:t>
      </w:r>
      <w:r w:rsidR="00255C76">
        <w:rPr>
          <w:szCs w:val="20"/>
        </w:rPr>
        <w:t xml:space="preserve">na soudní ochranu </w:t>
      </w:r>
      <w:r w:rsidR="007E58F7" w:rsidRPr="007E58F7">
        <w:rPr>
          <w:szCs w:val="20"/>
        </w:rPr>
        <w:t>se vztahuje na všechna zpracování osobních údajů a uplatňuje se přímo u</w:t>
      </w:r>
      <w:r>
        <w:rPr>
          <w:szCs w:val="20"/>
        </w:rPr>
        <w:t> </w:t>
      </w:r>
      <w:r w:rsidR="007E58F7" w:rsidRPr="007E58F7">
        <w:rPr>
          <w:szCs w:val="20"/>
        </w:rPr>
        <w:t xml:space="preserve">příslušného soudu.  </w:t>
      </w:r>
    </w:p>
    <w:p w:rsidR="007E58F7" w:rsidRPr="007E58F7" w:rsidRDefault="007E58F7" w:rsidP="007E58F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b/>
          <w:szCs w:val="20"/>
        </w:rPr>
      </w:pPr>
      <w:r w:rsidRPr="007E58F7">
        <w:rPr>
          <w:b/>
          <w:szCs w:val="20"/>
        </w:rPr>
        <w:t xml:space="preserve">právo na úhradu hmotné či nehmotné újmy </w:t>
      </w:r>
      <w:r w:rsidRPr="007E58F7">
        <w:rPr>
          <w:szCs w:val="20"/>
        </w:rPr>
        <w:t>(čl. 82 obecného nařízení o ochraně osobních údajů)</w:t>
      </w:r>
    </w:p>
    <w:p w:rsidR="00E040D6" w:rsidRDefault="00E040D6" w:rsidP="007E58F7">
      <w:pPr>
        <w:ind w:left="426"/>
        <w:jc w:val="both"/>
        <w:rPr>
          <w:szCs w:val="20"/>
        </w:rPr>
      </w:pPr>
      <w:r w:rsidRPr="00E040D6">
        <w:rPr>
          <w:szCs w:val="20"/>
        </w:rPr>
        <w:t xml:space="preserve">Kdokoli, kdo v důsledku porušení </w:t>
      </w:r>
      <w:r>
        <w:rPr>
          <w:szCs w:val="20"/>
        </w:rPr>
        <w:t>obecného</w:t>
      </w:r>
      <w:r w:rsidRPr="00E040D6">
        <w:rPr>
          <w:szCs w:val="20"/>
        </w:rPr>
        <w:t xml:space="preserve"> nařízení </w:t>
      </w:r>
      <w:r>
        <w:rPr>
          <w:szCs w:val="20"/>
        </w:rPr>
        <w:t xml:space="preserve">o ochraně osobních údajů </w:t>
      </w:r>
      <w:r w:rsidRPr="00E040D6">
        <w:rPr>
          <w:szCs w:val="20"/>
        </w:rPr>
        <w:t xml:space="preserve">utrpěl hmotnou či nehmotnou újmu, má právo obdržet od správce nebo zpracovatele náhradu utrpěné újmy. </w:t>
      </w:r>
      <w:r w:rsidR="007E58F7" w:rsidRPr="007E58F7">
        <w:rPr>
          <w:szCs w:val="20"/>
        </w:rPr>
        <w:t xml:space="preserve">Toto právo se vztahuje na všechna zpracování osobních údajů a je pod soudní ochranou. Soudní řízení za účelem výkonu práva na náhradu újmy vedou příslušné soudy. </w:t>
      </w:r>
    </w:p>
    <w:p w:rsidR="00CE0410" w:rsidRDefault="007E58F7" w:rsidP="00E376B7">
      <w:pPr>
        <w:ind w:left="426"/>
        <w:jc w:val="both"/>
      </w:pPr>
      <w:r w:rsidRPr="007E58F7">
        <w:rPr>
          <w:szCs w:val="20"/>
        </w:rPr>
        <w:t xml:space="preserve">Za škody způsobené při výkonu státní správy v oblasti přenesené působnosti </w:t>
      </w:r>
      <w:r w:rsidR="00E040D6">
        <w:rPr>
          <w:szCs w:val="20"/>
        </w:rPr>
        <w:t xml:space="preserve">podle našeho vnitrostátního práva </w:t>
      </w:r>
      <w:r w:rsidRPr="007E58F7">
        <w:rPr>
          <w:szCs w:val="20"/>
        </w:rPr>
        <w:t xml:space="preserve">odpovídá Česká republika. Za škody způsobené při výkonu veřejné správy v oblasti samostatné působnosti odpovídá územní samosprávný celek (obec, kraj). Postup </w:t>
      </w:r>
      <w:r w:rsidRPr="007E58F7">
        <w:rPr>
          <w:szCs w:val="20"/>
        </w:rPr>
        <w:lastRenderedPageBreak/>
        <w:t>uplatňování škody je stanoven zákonem (zákon č. 82/1998 Sb., o odpovědnosti za škodu způsobenou při výkonu veřejné moci rozhodnutím nebo nesprávným úředním postupem a</w:t>
      </w:r>
      <w:r w:rsidR="00E040D6">
        <w:rPr>
          <w:szCs w:val="20"/>
        </w:rPr>
        <w:t> </w:t>
      </w:r>
      <w:r w:rsidRPr="007E58F7">
        <w:rPr>
          <w:szCs w:val="20"/>
        </w:rPr>
        <w:t>o</w:t>
      </w:r>
      <w:r w:rsidR="00E040D6">
        <w:rPr>
          <w:szCs w:val="20"/>
        </w:rPr>
        <w:t> </w:t>
      </w:r>
      <w:r w:rsidRPr="007E58F7">
        <w:rPr>
          <w:szCs w:val="20"/>
        </w:rPr>
        <w:t>změně zákona České národní rady č. 358/1992 Sb., o notářích a jejich činnosti (notářský řád), ve znění pozdějších předpisů).</w:t>
      </w:r>
    </w:p>
    <w:sectPr w:rsidR="00CE0410" w:rsidSect="00084026">
      <w:footerReference w:type="default" r:id="rId7"/>
      <w:footerReference w:type="first" r:id="rId8"/>
      <w:pgSz w:w="11906" w:h="16838"/>
      <w:pgMar w:top="1135" w:right="1417" w:bottom="851" w:left="1417" w:header="708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65" w:rsidRDefault="00643965" w:rsidP="007E58F7">
      <w:pPr>
        <w:spacing w:after="0" w:line="240" w:lineRule="auto"/>
      </w:pPr>
      <w:r>
        <w:separator/>
      </w:r>
    </w:p>
  </w:endnote>
  <w:endnote w:type="continuationSeparator" w:id="0">
    <w:p w:rsidR="00643965" w:rsidRDefault="00643965" w:rsidP="007E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68943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i/>
          </w:rPr>
          <w:id w:val="37899341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643965" w:rsidRDefault="00643965" w:rsidP="007E58F7">
            <w:pPr>
              <w:pStyle w:val="Zpat"/>
              <w:rPr>
                <w:i/>
              </w:rPr>
            </w:pPr>
          </w:p>
          <w:p w:rsidR="00643965" w:rsidRPr="00084026" w:rsidRDefault="00643965">
            <w:pPr>
              <w:pStyle w:val="Zpat"/>
              <w:rPr>
                <w:i/>
                <w:sz w:val="18"/>
                <w:szCs w:val="18"/>
              </w:rPr>
            </w:pPr>
            <w:r w:rsidRPr="00084026">
              <w:rPr>
                <w:i/>
                <w:sz w:val="18"/>
                <w:szCs w:val="18"/>
              </w:rPr>
              <w:t>Informace pro subjekty údajů – přehled práv</w:t>
            </w:r>
            <w:r w:rsidRPr="00084026">
              <w:rPr>
                <w:i/>
                <w:sz w:val="18"/>
                <w:szCs w:val="18"/>
              </w:rPr>
              <w:tab/>
            </w:r>
            <w:r w:rsidRPr="00084026">
              <w:rPr>
                <w:i/>
                <w:sz w:val="18"/>
                <w:szCs w:val="18"/>
              </w:rPr>
              <w:tab/>
              <w:t xml:space="preserve">Stránka </w:t>
            </w:r>
            <w:r w:rsidR="00CE005B" w:rsidRPr="00084026">
              <w:rPr>
                <w:b/>
                <w:i/>
                <w:sz w:val="18"/>
                <w:szCs w:val="18"/>
              </w:rPr>
              <w:fldChar w:fldCharType="begin"/>
            </w:r>
            <w:r w:rsidRPr="00084026">
              <w:rPr>
                <w:b/>
                <w:i/>
                <w:sz w:val="18"/>
                <w:szCs w:val="18"/>
              </w:rPr>
              <w:instrText>PAGE</w:instrText>
            </w:r>
            <w:r w:rsidR="00CE005B" w:rsidRPr="00084026">
              <w:rPr>
                <w:b/>
                <w:i/>
                <w:sz w:val="18"/>
                <w:szCs w:val="18"/>
              </w:rPr>
              <w:fldChar w:fldCharType="separate"/>
            </w:r>
            <w:r w:rsidR="007C54FC">
              <w:rPr>
                <w:b/>
                <w:i/>
                <w:noProof/>
                <w:sz w:val="18"/>
                <w:szCs w:val="18"/>
              </w:rPr>
              <w:t>3</w:t>
            </w:r>
            <w:r w:rsidR="00CE005B" w:rsidRPr="00084026">
              <w:rPr>
                <w:sz w:val="18"/>
                <w:szCs w:val="18"/>
              </w:rPr>
              <w:fldChar w:fldCharType="end"/>
            </w:r>
            <w:r w:rsidRPr="00084026">
              <w:rPr>
                <w:i/>
                <w:sz w:val="18"/>
                <w:szCs w:val="18"/>
              </w:rPr>
              <w:t xml:space="preserve"> (celkem </w:t>
            </w:r>
            <w:r w:rsidR="00CE005B" w:rsidRPr="00084026">
              <w:rPr>
                <w:b/>
                <w:i/>
                <w:sz w:val="18"/>
                <w:szCs w:val="18"/>
              </w:rPr>
              <w:fldChar w:fldCharType="begin"/>
            </w:r>
            <w:r w:rsidRPr="00084026">
              <w:rPr>
                <w:b/>
                <w:i/>
                <w:sz w:val="18"/>
                <w:szCs w:val="18"/>
              </w:rPr>
              <w:instrText>NUMPAGES</w:instrText>
            </w:r>
            <w:r w:rsidR="00CE005B" w:rsidRPr="00084026">
              <w:rPr>
                <w:b/>
                <w:i/>
                <w:sz w:val="18"/>
                <w:szCs w:val="18"/>
              </w:rPr>
              <w:fldChar w:fldCharType="separate"/>
            </w:r>
            <w:r w:rsidR="007C54FC">
              <w:rPr>
                <w:b/>
                <w:i/>
                <w:noProof/>
                <w:sz w:val="18"/>
                <w:szCs w:val="18"/>
              </w:rPr>
              <w:t>3</w:t>
            </w:r>
            <w:r w:rsidR="00CE005B" w:rsidRPr="00084026">
              <w:rPr>
                <w:sz w:val="18"/>
                <w:szCs w:val="18"/>
              </w:rPr>
              <w:fldChar w:fldCharType="end"/>
            </w:r>
            <w:r w:rsidRPr="00084026">
              <w:rPr>
                <w:i/>
                <w:sz w:val="18"/>
                <w:szCs w:val="18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965" w:rsidRPr="00084026" w:rsidRDefault="00643965">
    <w:pPr>
      <w:pStyle w:val="Zpat"/>
      <w:rPr>
        <w:sz w:val="18"/>
        <w:szCs w:val="18"/>
      </w:rPr>
    </w:pPr>
    <w:r w:rsidRPr="00084026">
      <w:rPr>
        <w:i/>
        <w:sz w:val="18"/>
        <w:szCs w:val="18"/>
      </w:rPr>
      <w:t xml:space="preserve">Stránka </w:t>
    </w:r>
    <w:r w:rsidR="00CE005B" w:rsidRPr="00084026">
      <w:rPr>
        <w:b/>
        <w:i/>
        <w:sz w:val="18"/>
        <w:szCs w:val="18"/>
      </w:rPr>
      <w:fldChar w:fldCharType="begin"/>
    </w:r>
    <w:r w:rsidRPr="00084026">
      <w:rPr>
        <w:b/>
        <w:i/>
        <w:sz w:val="18"/>
        <w:szCs w:val="18"/>
      </w:rPr>
      <w:instrText>PAGE</w:instrText>
    </w:r>
    <w:r w:rsidR="00CE005B" w:rsidRPr="00084026">
      <w:rPr>
        <w:b/>
        <w:i/>
        <w:sz w:val="18"/>
        <w:szCs w:val="18"/>
      </w:rPr>
      <w:fldChar w:fldCharType="separate"/>
    </w:r>
    <w:r w:rsidR="007C54FC">
      <w:rPr>
        <w:b/>
        <w:i/>
        <w:noProof/>
        <w:sz w:val="18"/>
        <w:szCs w:val="18"/>
      </w:rPr>
      <w:t>1</w:t>
    </w:r>
    <w:r w:rsidR="00CE005B" w:rsidRPr="00084026">
      <w:rPr>
        <w:sz w:val="18"/>
        <w:szCs w:val="18"/>
      </w:rPr>
      <w:fldChar w:fldCharType="end"/>
    </w:r>
    <w:r w:rsidRPr="00084026">
      <w:rPr>
        <w:i/>
        <w:sz w:val="18"/>
        <w:szCs w:val="18"/>
      </w:rPr>
      <w:t xml:space="preserve"> (celkem </w:t>
    </w:r>
    <w:r w:rsidR="00CE005B" w:rsidRPr="00084026">
      <w:rPr>
        <w:b/>
        <w:i/>
        <w:sz w:val="18"/>
        <w:szCs w:val="18"/>
      </w:rPr>
      <w:fldChar w:fldCharType="begin"/>
    </w:r>
    <w:r w:rsidRPr="00084026">
      <w:rPr>
        <w:b/>
        <w:i/>
        <w:sz w:val="18"/>
        <w:szCs w:val="18"/>
      </w:rPr>
      <w:instrText>NUMPAGES</w:instrText>
    </w:r>
    <w:r w:rsidR="00CE005B" w:rsidRPr="00084026">
      <w:rPr>
        <w:b/>
        <w:i/>
        <w:sz w:val="18"/>
        <w:szCs w:val="18"/>
      </w:rPr>
      <w:fldChar w:fldCharType="separate"/>
    </w:r>
    <w:r w:rsidR="007C54FC">
      <w:rPr>
        <w:b/>
        <w:i/>
        <w:noProof/>
        <w:sz w:val="18"/>
        <w:szCs w:val="18"/>
      </w:rPr>
      <w:t>3</w:t>
    </w:r>
    <w:r w:rsidR="00CE005B" w:rsidRPr="00084026">
      <w:rPr>
        <w:sz w:val="18"/>
        <w:szCs w:val="18"/>
      </w:rPr>
      <w:fldChar w:fldCharType="end"/>
    </w:r>
    <w:r w:rsidRPr="00084026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65" w:rsidRDefault="00643965" w:rsidP="007E58F7">
      <w:pPr>
        <w:spacing w:after="0" w:line="240" w:lineRule="auto"/>
      </w:pPr>
      <w:r>
        <w:separator/>
      </w:r>
    </w:p>
  </w:footnote>
  <w:footnote w:type="continuationSeparator" w:id="0">
    <w:p w:rsidR="00643965" w:rsidRDefault="00643965" w:rsidP="007E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F80"/>
    <w:multiLevelType w:val="hybridMultilevel"/>
    <w:tmpl w:val="F2CC01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8F7"/>
    <w:rsid w:val="00084026"/>
    <w:rsid w:val="00094E0F"/>
    <w:rsid w:val="00106700"/>
    <w:rsid w:val="001A14C6"/>
    <w:rsid w:val="001E2AD3"/>
    <w:rsid w:val="0022541E"/>
    <w:rsid w:val="00255C76"/>
    <w:rsid w:val="002C503F"/>
    <w:rsid w:val="00320966"/>
    <w:rsid w:val="00361C76"/>
    <w:rsid w:val="005B7B8A"/>
    <w:rsid w:val="00635034"/>
    <w:rsid w:val="00643965"/>
    <w:rsid w:val="006567BC"/>
    <w:rsid w:val="006C7D2D"/>
    <w:rsid w:val="007170A9"/>
    <w:rsid w:val="007B4C20"/>
    <w:rsid w:val="007C54FC"/>
    <w:rsid w:val="007E58F7"/>
    <w:rsid w:val="007E77C2"/>
    <w:rsid w:val="008649A0"/>
    <w:rsid w:val="009752AB"/>
    <w:rsid w:val="00995634"/>
    <w:rsid w:val="00AC0DDF"/>
    <w:rsid w:val="00B0588E"/>
    <w:rsid w:val="00C140FE"/>
    <w:rsid w:val="00C54695"/>
    <w:rsid w:val="00C66562"/>
    <w:rsid w:val="00CE005B"/>
    <w:rsid w:val="00CE0410"/>
    <w:rsid w:val="00D11263"/>
    <w:rsid w:val="00DD3C04"/>
    <w:rsid w:val="00E040D6"/>
    <w:rsid w:val="00E311C0"/>
    <w:rsid w:val="00E376B7"/>
    <w:rsid w:val="00E919FD"/>
    <w:rsid w:val="00F00E44"/>
    <w:rsid w:val="00F10F1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EE70"/>
  <w15:docId w15:val="{D57E5D22-BB93-4442-B5BF-DF51E920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8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E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58F7"/>
  </w:style>
  <w:style w:type="paragraph" w:styleId="Zpat">
    <w:name w:val="footer"/>
    <w:basedOn w:val="Normln"/>
    <w:link w:val="ZpatChar"/>
    <w:uiPriority w:val="99"/>
    <w:semiHidden/>
    <w:unhideWhenUsed/>
    <w:rsid w:val="007E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8F7"/>
  </w:style>
  <w:style w:type="paragraph" w:styleId="Textbubliny">
    <w:name w:val="Balloon Text"/>
    <w:basedOn w:val="Normln"/>
    <w:link w:val="TextbublinyChar"/>
    <w:uiPriority w:val="99"/>
    <w:semiHidden/>
    <w:unhideWhenUsed/>
    <w:rsid w:val="00E3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Turčín Jiří</dc:creator>
  <cp:lastModifiedBy>Turčín Jiří</cp:lastModifiedBy>
  <cp:revision>11</cp:revision>
  <cp:lastPrinted>2025-07-09T08:52:00Z</cp:lastPrinted>
  <dcterms:created xsi:type="dcterms:W3CDTF">2018-08-07T07:46:00Z</dcterms:created>
  <dcterms:modified xsi:type="dcterms:W3CDTF">2025-07-09T11:03:00Z</dcterms:modified>
</cp:coreProperties>
</file>